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CE4" w:rsidRDefault="005C7E15" w:rsidP="00806CE4">
      <w:pPr>
        <w:spacing w:after="0" w:line="240" w:lineRule="auto"/>
        <w:rPr>
          <w:rFonts w:ascii="Times New Roman" w:eastAsia="Times New Roman" w:hAnsi="Times New Roman" w:cs="Times New Roman"/>
          <w:cap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aps/>
          <w:sz w:val="36"/>
          <w:szCs w:val="36"/>
          <w:lang w:eastAsia="ru-RU"/>
        </w:rPr>
        <w:t>13</w:t>
      </w:r>
      <w:r w:rsidR="00806CE4" w:rsidRPr="00806CE4">
        <w:rPr>
          <w:rFonts w:ascii="Times New Roman" w:eastAsia="Times New Roman" w:hAnsi="Times New Roman" w:cs="Times New Roman"/>
          <w:caps/>
          <w:sz w:val="36"/>
          <w:szCs w:val="36"/>
          <w:lang w:eastAsia="ru-RU"/>
        </w:rPr>
        <w:t>.10.2022</w:t>
      </w:r>
    </w:p>
    <w:p w:rsidR="00806CE4" w:rsidRPr="00806CE4" w:rsidRDefault="00806CE4" w:rsidP="00806CE4">
      <w:pPr>
        <w:spacing w:after="0" w:line="240" w:lineRule="auto"/>
        <w:rPr>
          <w:rFonts w:ascii="Arial" w:eastAsia="Times New Roman" w:hAnsi="Arial" w:cs="Arial"/>
          <w:color w:val="FFFFFF"/>
          <w:sz w:val="24"/>
          <w:szCs w:val="24"/>
          <w:shd w:val="clear" w:color="auto" w:fill="000000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begin"/>
      </w: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instrText xml:space="preserve"> HYPERLINK "https://www.aosd.ru/?dir=news&amp;act=show_s_new&amp;id_new=8135" </w:instrText>
      </w: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separate"/>
      </w:r>
    </w:p>
    <w:p w:rsidR="00806CE4" w:rsidRPr="00806CE4" w:rsidRDefault="00806CE4" w:rsidP="00806CE4">
      <w:pPr>
        <w:spacing w:line="240" w:lineRule="auto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end"/>
      </w: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В Архангельской области подводят первые итоги муниципальной реформы.</w:t>
      </w:r>
    </w:p>
    <w:p w:rsidR="00806CE4" w:rsidRPr="00806CE4" w:rsidRDefault="00806CE4" w:rsidP="00806CE4">
      <w:pPr>
        <w:spacing w:after="0" w:line="240" w:lineRule="auto"/>
        <w:rPr>
          <w:rFonts w:ascii="Arial" w:eastAsia="Times New Roman" w:hAnsi="Arial" w:cs="Arial"/>
          <w:color w:val="FFFFFF"/>
          <w:sz w:val="24"/>
          <w:szCs w:val="24"/>
          <w:shd w:val="clear" w:color="auto" w:fill="000000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begin"/>
      </w: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instrText xml:space="preserve"> HYPERLINK "https://www.aosd.ru/uploads/new_photo__8135_hd.jpg" </w:instrText>
      </w: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separate"/>
      </w:r>
    </w:p>
    <w:p w:rsidR="00806CE4" w:rsidRPr="00806CE4" w:rsidRDefault="00806CE4" w:rsidP="00806CE4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shd w:val="clear" w:color="auto" w:fill="FFFFFF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end"/>
      </w:r>
      <w:r>
        <w:rPr>
          <w:noProof/>
          <w:lang w:eastAsia="ru-RU"/>
        </w:rPr>
        <w:drawing>
          <wp:inline distT="0" distB="0" distL="0" distR="0" wp14:anchorId="121E41EA" wp14:editId="0F706C72">
            <wp:extent cx="5940425" cy="3968018"/>
            <wp:effectExtent l="0" t="0" r="3175" b="0"/>
            <wp:docPr id="1" name="Рисунок 1" descr="https://www.aosd.ru/uploads/new_photo__8135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osd.ru/uploads/new_photo__8135_h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begin"/>
      </w: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instrText xml:space="preserve"> HYPERLINK "https://www.aosd.ru/?dir=news&amp;act=show_s_new&amp;id_new=8135" </w:instrText>
      </w: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separate"/>
      </w:r>
    </w:p>
    <w:p w:rsidR="00806CE4" w:rsidRPr="00806CE4" w:rsidRDefault="00806CE4" w:rsidP="00806CE4">
      <w:pPr>
        <w:spacing w:after="0" w:line="240" w:lineRule="auto"/>
        <w:rPr>
          <w:rFonts w:ascii="Arial" w:eastAsia="Times New Roman" w:hAnsi="Arial" w:cs="Arial"/>
          <w:color w:val="FFFFFF"/>
          <w:sz w:val="24"/>
          <w:szCs w:val="24"/>
          <w:shd w:val="clear" w:color="auto" w:fill="000000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end"/>
      </w: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begin"/>
      </w: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instrText xml:space="preserve"> HYPERLINK "https://www.aosd.ru/?dir=news&amp;act=show_s_new&amp;id_new=8135" </w:instrText>
      </w: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separate"/>
      </w:r>
    </w:p>
    <w:p w:rsidR="00806CE4" w:rsidRPr="00806CE4" w:rsidRDefault="00806CE4" w:rsidP="00806CE4">
      <w:pPr>
        <w:spacing w:after="0" w:line="240" w:lineRule="auto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4"/>
          <w:szCs w:val="24"/>
          <w:lang w:eastAsia="ru-RU"/>
        </w:rPr>
        <w:fldChar w:fldCharType="end"/>
      </w:r>
    </w:p>
    <w:p w:rsidR="00806CE4" w:rsidRPr="00806CE4" w:rsidRDefault="00806CE4" w:rsidP="00806CE4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С 2020 по 2022 год решение объединиться в муниципальные округа приняли сельские и городские поселения 12 районов Поморья. Архангельское областное Собрание депутатов поддержало инициативы муниципалитетов, приняв соответствующие законы, в том числе о мерах государственной поддержки округов. Необходимое условие для получения господдержки – разработка муниципалитетами планов социально-экономического развития. Комитет по законодательству и вопросам местного самоуправления по поручению председателя областного Собрания Екатерины Прокопьевой посетил ряд муниципальных образований, чтобы проанализировать практику реализации данных мер в 2022 году.</w:t>
      </w:r>
    </w:p>
    <w:p w:rsidR="00806CE4" w:rsidRPr="00806CE4" w:rsidRDefault="00806CE4" w:rsidP="00806CE4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Выездную работу комитет начал с посещения Виноградовского округа. Муниципалитет получил новый статус 1 января 2022 года. В связи с реформой был разработан и утвержден план социально-экономического развития муниципального образования на 2022–2024 годы. По словам главы муниципалитета Александра Первухина, при разработке документа были учтены интересы жителей всех территорий округа.</w:t>
      </w:r>
    </w:p>
    <w:p w:rsidR="00806CE4" w:rsidRPr="00806CE4" w:rsidRDefault="00806CE4" w:rsidP="00806CE4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Законодатели совместно с руководством муниципалитета познакомились с итогами реализации плана в текущем году, посетили </w:t>
      </w: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lastRenderedPageBreak/>
        <w:t>объекты, включенные в план, обсудили дальнейшие проекты по развитию территорий, а также рассмотрели вопросы контроля за исполнением «дорожной карты» со стороны депутатского корпуса и окружного общественного совета.</w:t>
      </w:r>
    </w:p>
    <w:p w:rsidR="00806CE4" w:rsidRPr="00806CE4" w:rsidRDefault="00806CE4" w:rsidP="00806CE4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Основное внимание власти Виноградовского округа сосредоточили на ремонте коммунальной инфраструктуры, модернизации учреждений культуры и образовательных организаций. Так, в рамках реализации плана в 2022 году на территории округа были определены самые проблемные объекты, которые в первую очередь требовали вложений. Например, на территории округа были отремонтированы изношенные тепловые сети, в </w:t>
      </w:r>
      <w:proofErr w:type="spellStart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Хетовской</w:t>
      </w:r>
      <w:proofErr w:type="spellEnd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 средней школе была заменена и утеплена кровля, а также полностью обновлена система отопления. Завершен монтаж системы отопления в ДК деревни </w:t>
      </w:r>
      <w:proofErr w:type="spellStart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Осиново</w:t>
      </w:r>
      <w:proofErr w:type="spellEnd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, такие же работы проводятся в </w:t>
      </w:r>
      <w:proofErr w:type="spellStart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Заостровском</w:t>
      </w:r>
      <w:proofErr w:type="spellEnd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 доме культуры. Продолжаются ремонтные работы в </w:t>
      </w:r>
      <w:proofErr w:type="spellStart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Борецком</w:t>
      </w:r>
      <w:proofErr w:type="spellEnd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 доме культуры. Администрация округа также приобрела </w:t>
      </w:r>
      <w:proofErr w:type="spellStart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высокопроходимый</w:t>
      </w:r>
      <w:proofErr w:type="spellEnd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 транспорт для перевозки жителей из самого отдаленного и труднодоступного населенного пункта округа поселка Шошельцы. Все эти мероприятия были реализованы за счет финансовой помощи в размере 20 миллионов рублей, которые муниципалитет получил из областного бюджета в рамках государственной поддержки.</w:t>
      </w:r>
    </w:p>
    <w:p w:rsidR="00806CE4" w:rsidRPr="00806CE4" w:rsidRDefault="00806CE4" w:rsidP="00806CE4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– В 2023 и 2024 годах муниципалитет получит аналогичные областные средства для реализации наиболее значимых мероприятий, которые без перехода в округ мы не смогли бы выполнить, – отметил глава Виноградовского муниципального округа Александр Первухин. – Кроме того, поддержка оказывается и в рамках программы по развитию инициативного бюджетирования. В этом году мы как округ получили дополнительно 6 миллионов рублей на реализацию инициативных проектов. Большинство средств было направлено на благоустройство территорий и ремонт подвесных мостов.</w:t>
      </w:r>
    </w:p>
    <w:p w:rsidR="00806CE4" w:rsidRPr="00806CE4" w:rsidRDefault="00806CE4" w:rsidP="00806CE4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Округ активно участвует и в других государственных программах. За счет </w:t>
      </w:r>
      <w:proofErr w:type="spellStart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софинансирования</w:t>
      </w:r>
      <w:proofErr w:type="spellEnd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 из регионального и федерального бюджетов, в рамках плана социально-экономического развития, в поселке </w:t>
      </w:r>
      <w:proofErr w:type="spellStart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Хетово</w:t>
      </w:r>
      <w:proofErr w:type="spellEnd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 появился новый универсальный спортивный объект для занятий игровыми видами спорта. В скором времени новая площадка для сдачи норм ГТО появится и в Березнике. Кроме того, в административном центре начат ремонт детского сада «Березка», а в Рочегде завершается капитальный ремонт средней школы. В Березнике также начаты работы по проектированию канализационно-очистных сооружений. Все необходимые изыскания уже проведены, до конца года проекту осталось пройти </w:t>
      </w:r>
      <w:proofErr w:type="spellStart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госэкспертизу</w:t>
      </w:r>
      <w:proofErr w:type="spellEnd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. В текущем году в поселке также планируется сдать 84 квартиры в рамках программы переселения граждан из ветхого и аварийного жилья.</w:t>
      </w:r>
    </w:p>
    <w:p w:rsidR="00806CE4" w:rsidRPr="00806CE4" w:rsidRDefault="00806CE4" w:rsidP="00806CE4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Самый масштабный проект, который сейчас реализуется в Виноградовском округе, – строительство водопровода. Работы вошли в финальную стадию: проложены все сети, смонтирована станция очистки </w:t>
      </w: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lastRenderedPageBreak/>
        <w:t>воды. На данный момент из 40 колонок в Березнике подключено 33. Объект, по словам руководства округа, будет введен в эксплуатацию до конца текущего года.</w:t>
      </w:r>
    </w:p>
    <w:p w:rsidR="00806CE4" w:rsidRPr="00806CE4" w:rsidRDefault="00806CE4" w:rsidP="00806CE4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– </w:t>
      </w:r>
      <w:proofErr w:type="spellStart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Софинансирование</w:t>
      </w:r>
      <w:proofErr w:type="spellEnd"/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 xml:space="preserve"> планов социально-экономического развития – одна из ключевых мер государственной поддержки муниципальных округов. Такие планы утверждены во всех вновь образованных муниципалитетах, в том числе в Виноградовском округе. На выполнение мероприятий плана в этом году в округ направлено 66 миллионов рублей из областного бюджета, кроме того, привлечены значительные федеральные средства. На наш взгляд, округ успешно выполнил достаточно большой объем работ по реализации этой «дорожной карты», – отметил заместитель председателя областного Собрания Игорь Чесноков, возглавляющий комитет по законодательству и вопросам местного самоуправления.</w:t>
      </w:r>
    </w:p>
    <w:p w:rsidR="00806CE4" w:rsidRPr="00806CE4" w:rsidRDefault="00806CE4" w:rsidP="00806CE4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Подводя итоги выездного заседания, комитет обратил внимание органов местного самоуправления на важность своевременного внесения изменений в планы социально-экономического развития и их согласования с правительством Архангельской области, чтобы не допустить нарушений бюджетного законодательства. Перед внесением изменений в планы их также предлагается выносить на обсуждение представительных органов и окружных общественных советов. Помимо этого, депутаты рекомендовали муниципалитетам на постоянной основе осуществлять информационное сопровождение мероприятий, включенных в «дорожные карты», чтобы жители округов имели возможность оценивать результаты этой работы.</w:t>
      </w:r>
      <w:bookmarkStart w:id="0" w:name="_GoBack"/>
      <w:bookmarkEnd w:id="0"/>
    </w:p>
    <w:p w:rsidR="00806CE4" w:rsidRPr="00806CE4" w:rsidRDefault="00806CE4" w:rsidP="00806CE4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20202"/>
          <w:sz w:val="27"/>
          <w:szCs w:val="27"/>
          <w:lang w:eastAsia="ru-RU"/>
        </w:rPr>
      </w:pPr>
      <w:r w:rsidRPr="00806CE4">
        <w:rPr>
          <w:rFonts w:ascii="Arial" w:eastAsia="Times New Roman" w:hAnsi="Arial" w:cs="Arial"/>
          <w:color w:val="020202"/>
          <w:sz w:val="27"/>
          <w:szCs w:val="27"/>
          <w:lang w:eastAsia="ru-RU"/>
        </w:rPr>
        <w:t>Итоги работы, посвященной мерам государственной поддержки округов, комитет подведет в рамках круглого стола, который состоится в областном Собрании в конце года. </w:t>
      </w:r>
    </w:p>
    <w:p w:rsidR="00806CE4" w:rsidRDefault="00806CE4"/>
    <w:p w:rsidR="00A473DE" w:rsidRDefault="005C7E15">
      <w:hyperlink r:id="rId5" w:history="1">
        <w:r w:rsidR="00806CE4">
          <w:rPr>
            <w:rStyle w:val="a3"/>
          </w:rPr>
          <w:t>Арханг</w:t>
        </w:r>
        <w:r w:rsidR="00806CE4">
          <w:rPr>
            <w:rStyle w:val="a3"/>
          </w:rPr>
          <w:t>е</w:t>
        </w:r>
        <w:r w:rsidR="00806CE4">
          <w:rPr>
            <w:rStyle w:val="a3"/>
          </w:rPr>
          <w:t>льское областное Собрание депутатов (aosd.ru)</w:t>
        </w:r>
      </w:hyperlink>
    </w:p>
    <w:sectPr w:rsidR="00A4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C8"/>
    <w:rsid w:val="005C7E15"/>
    <w:rsid w:val="00806CE4"/>
    <w:rsid w:val="00A473DE"/>
    <w:rsid w:val="00CE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5C61F-540C-48AC-9001-2C67853A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6CE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C7E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5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3661">
              <w:marLeft w:val="0"/>
              <w:marRight w:val="9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13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aosd.ru/?dir=news&amp;act=show_s_new&amp;id_new=8135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904</Words>
  <Characters>5154</Characters>
  <Application>Microsoft Office Word</Application>
  <DocSecurity>0</DocSecurity>
  <Lines>42</Lines>
  <Paragraphs>12</Paragraphs>
  <ScaleCrop>false</ScaleCrop>
  <Company/>
  <LinksUpToDate>false</LinksUpToDate>
  <CharactersWithSpaces>6046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Ebudget</dc:creator>
  <cp:keywords/>
  <dc:description/>
  <cp:lastModifiedBy>Ebudget</cp:lastModifiedBy>
  <cp:revision>5</cp:revision>
  <dcterms:created xsi:type="dcterms:W3CDTF">2022-10-19T06:49:00Z</dcterms:created>
  <dcterms:modified xsi:type="dcterms:W3CDTF">2022-10-19T06:56:00Z</dcterms:modified>
</cp:coreProperties>
</file>