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54" w:rsidRPr="00F1061E" w:rsidRDefault="007E2C54" w:rsidP="006E73AD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 xml:space="preserve">(зарегистрирован Министерством юстиции Российской Федерации 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подачи страхователями заявлений о </w:t>
      </w:r>
      <w:r w:rsidR="00643CF6">
        <w:rPr>
          <w:bCs/>
          <w:sz w:val="27"/>
          <w:szCs w:val="27"/>
        </w:rPr>
        <w:t xml:space="preserve">финансовом обеспечении предупредительных </w:t>
      </w:r>
      <w:r w:rsidR="00643CF6">
        <w:rPr>
          <w:bCs/>
          <w:sz w:val="27"/>
          <w:szCs w:val="27"/>
        </w:rPr>
        <w:lastRenderedPageBreak/>
        <w:t>мер</w:t>
      </w:r>
      <w:r w:rsidR="00643CF6">
        <w:rPr>
          <w:sz w:val="27"/>
          <w:szCs w:val="27"/>
        </w:rPr>
        <w:t xml:space="preserve"> 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 обеспечении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обучения по охране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</w:t>
      </w:r>
      <w:r w:rsidRPr="00311A93">
        <w:rPr>
          <w:sz w:val="27"/>
          <w:szCs w:val="27"/>
          <w:lang w:eastAsia="ru-RU"/>
        </w:rPr>
        <w:lastRenderedPageBreak/>
        <w:t>услуги по проведению обучения по охране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«в» пункта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СИЗ  -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(вендингового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СИЗ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>обязательные предсменные (послесменные) и (или) предрейсовые (послерейсовые)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предсменных (послесменных)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и (или) предрейсовых (послерейсовых)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предсменных (послесменных) и (или) предрейсовых (послерейсовых) осмотров, например, КАП «ЭСМО», Терминал аппаратно-программный для медицинских осмотров «Медикон»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тахографам реализовано право страхователя на приобретение блоков СКЗИ тахографа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Замена блоков СКЗИ тахографа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и контроля работы тахографов,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тахографа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видео-аудиофиксации</w:t>
      </w:r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p w:rsidR="000A0510" w:rsidRDefault="000A051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</w:p>
    <w:p w:rsidR="000A0510" w:rsidRDefault="000A0510" w:rsidP="000A0510">
      <w:pPr>
        <w:ind w:firstLine="709"/>
        <w:jc w:val="both"/>
        <w:rPr>
          <w:b/>
          <w:sz w:val="27"/>
          <w:szCs w:val="27"/>
        </w:rPr>
      </w:pPr>
      <w:r w:rsidRPr="000A0510">
        <w:rPr>
          <w:b/>
          <w:sz w:val="27"/>
          <w:szCs w:val="27"/>
        </w:rPr>
        <w:t>Все необходимые нормативные документы, памятки, бланки документов  размещены на сайте отделения Фонда sfr.gov.ru в разделе «Страхователям», подраздел «Профессиональные риски»/ «Предупредительные меры по сокращению производственного травматизма и профессиональных заболеваний».</w:t>
      </w:r>
    </w:p>
    <w:p w:rsidR="000A0510" w:rsidRDefault="000A0510" w:rsidP="000A0510">
      <w:pPr>
        <w:ind w:firstLine="709"/>
        <w:jc w:val="both"/>
        <w:rPr>
          <w:b/>
          <w:sz w:val="27"/>
          <w:szCs w:val="27"/>
        </w:rPr>
      </w:pPr>
    </w:p>
    <w:p w:rsidR="000A0510" w:rsidRPr="000A0510" w:rsidRDefault="002C70CF" w:rsidP="002C70CF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Региональный контакт</w:t>
      </w:r>
      <w:r w:rsidR="000A0510">
        <w:rPr>
          <w:b/>
          <w:sz w:val="27"/>
          <w:szCs w:val="27"/>
        </w:rPr>
        <w:t>-центр дл</w:t>
      </w:r>
      <w:r>
        <w:rPr>
          <w:b/>
          <w:sz w:val="27"/>
          <w:szCs w:val="27"/>
        </w:rPr>
        <w:t>я</w:t>
      </w:r>
      <w:r w:rsidR="000A0510">
        <w:rPr>
          <w:b/>
          <w:sz w:val="27"/>
          <w:szCs w:val="27"/>
        </w:rPr>
        <w:t xml:space="preserve"> страхователей</w:t>
      </w:r>
      <w:r>
        <w:rPr>
          <w:b/>
          <w:sz w:val="27"/>
          <w:szCs w:val="27"/>
        </w:rPr>
        <w:t xml:space="preserve"> (работодателей) ОСФР по Архангельской области и НАО  </w:t>
      </w:r>
      <w:r w:rsidR="000A0510">
        <w:rPr>
          <w:b/>
          <w:sz w:val="27"/>
          <w:szCs w:val="27"/>
        </w:rPr>
        <w:t xml:space="preserve"> 8(8182)</w:t>
      </w:r>
      <w:r w:rsidR="00874E1C">
        <w:rPr>
          <w:b/>
          <w:sz w:val="27"/>
          <w:szCs w:val="27"/>
        </w:rPr>
        <w:t xml:space="preserve"> </w:t>
      </w:r>
      <w:r w:rsidR="000A0510">
        <w:rPr>
          <w:b/>
          <w:sz w:val="27"/>
          <w:szCs w:val="27"/>
        </w:rPr>
        <w:t>454182</w:t>
      </w:r>
    </w:p>
    <w:p w:rsidR="000A0510" w:rsidRPr="003B26D0" w:rsidRDefault="000A051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</w:p>
    <w:sectPr w:rsidR="000A0510" w:rsidRPr="003B26D0" w:rsidSect="006E73A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F7" w:rsidRDefault="00537BF7" w:rsidP="00B10ABB">
      <w:r>
        <w:separator/>
      </w:r>
    </w:p>
  </w:endnote>
  <w:endnote w:type="continuationSeparator" w:id="0">
    <w:p w:rsidR="00537BF7" w:rsidRDefault="00537BF7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F7" w:rsidRDefault="00537BF7" w:rsidP="00B10ABB">
      <w:r>
        <w:separator/>
      </w:r>
    </w:p>
  </w:footnote>
  <w:footnote w:type="continuationSeparator" w:id="0">
    <w:p w:rsidR="00537BF7" w:rsidRDefault="00537BF7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FC7B9E">
          <w:rPr>
            <w:noProof/>
            <w:sz w:val="28"/>
            <w:szCs w:val="28"/>
          </w:rPr>
          <w:t>2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A0510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2C70CF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53C04"/>
    <w:rsid w:val="00473F42"/>
    <w:rsid w:val="004A1B29"/>
    <w:rsid w:val="004D09AD"/>
    <w:rsid w:val="004F0A9B"/>
    <w:rsid w:val="00513804"/>
    <w:rsid w:val="005169A9"/>
    <w:rsid w:val="005278BD"/>
    <w:rsid w:val="00537BF7"/>
    <w:rsid w:val="005A270D"/>
    <w:rsid w:val="005B2089"/>
    <w:rsid w:val="005C2484"/>
    <w:rsid w:val="005D7632"/>
    <w:rsid w:val="005F31A2"/>
    <w:rsid w:val="005F703C"/>
    <w:rsid w:val="0061459F"/>
    <w:rsid w:val="00643CF6"/>
    <w:rsid w:val="0064598F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74E1C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C0889"/>
    <w:rsid w:val="00FC7B9E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48772-FFCC-4334-B8ED-C9FB2C53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AGAFONOVA</cp:lastModifiedBy>
  <cp:revision>2</cp:revision>
  <cp:lastPrinted>2025-12-19T07:53:00Z</cp:lastPrinted>
  <dcterms:created xsi:type="dcterms:W3CDTF">2026-04-10T07:37:00Z</dcterms:created>
  <dcterms:modified xsi:type="dcterms:W3CDTF">2026-04-10T07:37:00Z</dcterms:modified>
</cp:coreProperties>
</file>